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Grammaire(s) et acquisition des L2 :</w:t>
      </w:r>
    </w:p>
    <w:p w:rsidR="00000000" w:rsidDel="00000000" w:rsidP="00000000" w:rsidRDefault="00000000" w:rsidRPr="00000000" w14:paraId="00000002">
      <w:pPr>
        <w:jc w:val="center"/>
        <w:rPr>
          <w:b w:val="1"/>
          <w:sz w:val="42"/>
          <w:szCs w:val="42"/>
        </w:rPr>
      </w:pPr>
      <w:r w:rsidDel="00000000" w:rsidR="00000000" w:rsidRPr="00000000">
        <w:rPr>
          <w:rFonts w:ascii="Calibri" w:cs="Calibri" w:eastAsia="Calibri" w:hAnsi="Calibri"/>
          <w:b w:val="1"/>
          <w:sz w:val="34"/>
          <w:szCs w:val="34"/>
          <w:rtl w:val="0"/>
        </w:rPr>
        <w:t xml:space="preserve">Approches, trajectoires, interfaces</w:t>
      </w:r>
      <w:r w:rsidDel="00000000" w:rsidR="00000000" w:rsidRPr="00000000">
        <w:rPr>
          <w:rtl w:val="0"/>
        </w:rPr>
      </w:r>
    </w:p>
    <w:p w:rsidR="00000000" w:rsidDel="00000000" w:rsidP="00000000" w:rsidRDefault="00000000" w:rsidRPr="00000000" w14:paraId="00000003">
      <w:pPr>
        <w:spacing w:after="240" w:before="240" w:line="256.8" w:lineRule="auto"/>
        <w:rPr/>
      </w:pPr>
      <w:r w:rsidDel="00000000" w:rsidR="00000000" w:rsidRPr="00000000">
        <w:rPr>
          <w:rtl w:val="0"/>
        </w:rPr>
        <w:t xml:space="preserve">Journées d’études à l’Université Grenoble-Alpes</w:t>
      </w:r>
    </w:p>
    <w:p w:rsidR="00000000" w:rsidDel="00000000" w:rsidP="00000000" w:rsidRDefault="00000000" w:rsidRPr="00000000" w14:paraId="00000004">
      <w:pPr>
        <w:spacing w:after="240" w:before="240" w:line="256.8" w:lineRule="auto"/>
        <w:rPr>
          <w:b w:val="1"/>
        </w:rPr>
      </w:pPr>
      <w:r w:rsidDel="00000000" w:rsidR="00000000" w:rsidRPr="00000000">
        <w:rPr>
          <w:b w:val="1"/>
          <w:rtl w:val="0"/>
        </w:rPr>
        <w:t xml:space="preserve">19-20 octobre 2023 -  Appel à communications affichées (posters)</w:t>
      </w:r>
    </w:p>
    <w:p w:rsidR="00000000" w:rsidDel="00000000" w:rsidP="00000000" w:rsidRDefault="00000000" w:rsidRPr="00000000" w14:paraId="00000005">
      <w:pPr>
        <w:spacing w:line="256.8" w:lineRule="auto"/>
        <w:jc w:val="both"/>
        <w:rPr/>
      </w:pPr>
      <w:r w:rsidDel="00000000" w:rsidR="00000000" w:rsidRPr="00000000">
        <w:rPr>
          <w:rtl w:val="0"/>
        </w:rPr>
        <w:t xml:space="preserve">La dimension grammaticale de l’acquisition d’une langue seconde (L2) implique une multiplicité d’approches théoriques et méthodologiques. Faisant suite aux journées d’étude sur la phonologie (2018 à Nantes), le lexique (2019 à Lyon) et la pragmatique (2022 à Nice), l’édition 2023 des journées d’études du Réseau d’acquisition des langues secondes (RéAL2) sera consacrée aux recherches qui portent sur la grammaire en L2. Ces journées d’études ont pour objectif de réunir des chercheur.es intéressé.es par la relation entre grammaire, prise au sens large, et acquisition des L2, pour faire le point sur les recherches récentes dans ce domaine.</w:t>
      </w:r>
    </w:p>
    <w:p w:rsidR="00000000" w:rsidDel="00000000" w:rsidP="00000000" w:rsidRDefault="00000000" w:rsidRPr="00000000" w14:paraId="00000006">
      <w:pPr>
        <w:spacing w:line="256.8" w:lineRule="auto"/>
        <w:jc w:val="both"/>
        <w:rPr/>
      </w:pPr>
      <w:r w:rsidDel="00000000" w:rsidR="00000000" w:rsidRPr="00000000">
        <w:rPr>
          <w:rtl w:val="0"/>
        </w:rPr>
      </w:r>
    </w:p>
    <w:p w:rsidR="00000000" w:rsidDel="00000000" w:rsidP="00000000" w:rsidRDefault="00000000" w:rsidRPr="00000000" w14:paraId="00000007">
      <w:pPr>
        <w:spacing w:line="256.8" w:lineRule="auto"/>
        <w:jc w:val="both"/>
        <w:rPr/>
      </w:pPr>
      <w:r w:rsidDel="00000000" w:rsidR="00000000" w:rsidRPr="00000000">
        <w:rPr>
          <w:rtl w:val="0"/>
        </w:rPr>
        <w:t xml:space="preserve">La polysémie du terme de « grammaire » se retrouve dans les recherches en acquisition, que celles-ci s’orientent selon des approches théoriques accordant un statut différent aux formes et au sens (des approches formelles à la perspective émergentiste) (Goldschneider &amp; DeKeyser 2005 ; Ellis 2008), qu’elles étudient le développement de la compétence ou du système langagier des apprenants (Klein &amp; Perdue, 1992 ; Véronique, 2017), qu’elles s’intéressent aux connaissances en jeu dans les processus d’appropriation ou encore qu’elles posent la question du type d’enseignement grammatical à délivrer (Norris &amp; Ortega 2006 ; Beacco 2010).</w:t>
      </w:r>
    </w:p>
    <w:p w:rsidR="00000000" w:rsidDel="00000000" w:rsidP="00000000" w:rsidRDefault="00000000" w:rsidRPr="00000000" w14:paraId="00000008">
      <w:pPr>
        <w:spacing w:line="256.8" w:lineRule="auto"/>
        <w:jc w:val="both"/>
        <w:rPr/>
      </w:pPr>
      <w:r w:rsidDel="00000000" w:rsidR="00000000" w:rsidRPr="00000000">
        <w:rPr>
          <w:rtl w:val="0"/>
        </w:rPr>
      </w:r>
    </w:p>
    <w:p w:rsidR="00000000" w:rsidDel="00000000" w:rsidP="00000000" w:rsidRDefault="00000000" w:rsidRPr="00000000" w14:paraId="00000009">
      <w:pPr>
        <w:spacing w:line="256.8" w:lineRule="auto"/>
        <w:jc w:val="both"/>
        <w:rPr/>
      </w:pPr>
      <w:r w:rsidDel="00000000" w:rsidR="00000000" w:rsidRPr="00000000">
        <w:rPr>
          <w:rtl w:val="0"/>
        </w:rPr>
        <w:t xml:space="preserve">Pour ces journées d’études, nous souhaitons par conséquent aborder la ou les grammaire(s) dans une dimension plurielle ; nous proposons pour cela de questionner la définition et la notion même de grammaire(s) à travers des approches qui vont conditionner une conception de la langue, de son fonctionnement et de son appropriation. Nous nous intéresserons également aux aspects développementaux de l’acquisition tels qu’ils ont été étudiés à travers des recherches portant sur les trajectoires acquisitionnelles ou itinéraires d’apprentissage, pouvant concerner divers aspects formels et s’appliquer à des contextes et des publics variés (Véronique, 2017 ; Bartning &amp; Schlyter, 2004). Certains des travaux portant sur ces questions se focalisent sur les contextes guidés, d’autres analysent le processus d’acquisition non-guidée ou les parcours d’acquisition complexes. On pense ici notamment aux situations de migration actuelles (Véronique, 2021). </w:t>
      </w:r>
    </w:p>
    <w:p w:rsidR="00000000" w:rsidDel="00000000" w:rsidP="00000000" w:rsidRDefault="00000000" w:rsidRPr="00000000" w14:paraId="0000000A">
      <w:pPr>
        <w:spacing w:line="256.8" w:lineRule="auto"/>
        <w:jc w:val="both"/>
        <w:rPr/>
      </w:pPr>
      <w:r w:rsidDel="00000000" w:rsidR="00000000" w:rsidRPr="00000000">
        <w:rPr>
          <w:rtl w:val="0"/>
        </w:rPr>
      </w:r>
    </w:p>
    <w:p w:rsidR="00000000" w:rsidDel="00000000" w:rsidP="00000000" w:rsidRDefault="00000000" w:rsidRPr="00000000" w14:paraId="0000000B">
      <w:pPr>
        <w:spacing w:line="256.8" w:lineRule="auto"/>
        <w:jc w:val="both"/>
        <w:rPr/>
      </w:pPr>
      <w:r w:rsidDel="00000000" w:rsidR="00000000" w:rsidRPr="00000000">
        <w:rPr>
          <w:rtl w:val="0"/>
        </w:rPr>
        <w:t xml:space="preserve">Les recherches en acquisition des L2 questionnent par ailleurs l’interface entre différents types de connaissances dans le développement langagier (Godfroid, 2023 ; Granget &amp; </w:t>
      </w:r>
      <w:r w:rsidDel="00000000" w:rsidR="00000000" w:rsidRPr="00000000">
        <w:rPr>
          <w:i w:val="1"/>
          <w:rtl w:val="0"/>
        </w:rPr>
        <w:t xml:space="preserve">al.,</w:t>
      </w:r>
      <w:r w:rsidDel="00000000" w:rsidR="00000000" w:rsidRPr="00000000">
        <w:rPr>
          <w:rtl w:val="0"/>
        </w:rPr>
        <w:t xml:space="preserve"> 2017) et abordent souvent les compétences grammaticales en interaction avec d’autres compétences (linguistiques, discursives, pragmatiques, interactionnelles entre autres) ou avec des activités langagières ciblées (production ou compréhension orale et/ou écrite). Plus récemment, des études adossées à des approches basées sur l’usage mettent l’accent sur l’interface entre grammaire et lexique : les approches cognitives et les grammaires de construction envisagent ces deux dimensions comme constitutives d’un même </w:t>
      </w:r>
      <w:r w:rsidDel="00000000" w:rsidR="00000000" w:rsidRPr="00000000">
        <w:rPr>
          <w:i w:val="1"/>
          <w:rtl w:val="0"/>
        </w:rPr>
        <w:t xml:space="preserve">continuum, </w:t>
      </w:r>
      <w:r w:rsidDel="00000000" w:rsidR="00000000" w:rsidRPr="00000000">
        <w:rPr>
          <w:rtl w:val="0"/>
        </w:rPr>
        <w:t xml:space="preserve">dans lequel s’articulent des structures lexicales et grammaticales  (Legallois, 2021). L’interface entre les dimensions grammaticales (syntaxiques), sémantiques et cognitives mérite, dans cette optique, une attention particulière. </w:t>
      </w:r>
    </w:p>
    <w:p w:rsidR="00000000" w:rsidDel="00000000" w:rsidP="00000000" w:rsidRDefault="00000000" w:rsidRPr="00000000" w14:paraId="0000000C">
      <w:pPr>
        <w:spacing w:line="256.8" w:lineRule="auto"/>
        <w:jc w:val="both"/>
        <w:rPr/>
      </w:pPr>
      <w:r w:rsidDel="00000000" w:rsidR="00000000" w:rsidRPr="00000000">
        <w:rPr>
          <w:rtl w:val="0"/>
        </w:rPr>
      </w:r>
    </w:p>
    <w:p w:rsidR="00000000" w:rsidDel="00000000" w:rsidP="00000000" w:rsidRDefault="00000000" w:rsidRPr="00000000" w14:paraId="0000000D">
      <w:pPr>
        <w:spacing w:line="256.8" w:lineRule="auto"/>
        <w:jc w:val="both"/>
        <w:rPr/>
      </w:pPr>
      <w:r w:rsidDel="00000000" w:rsidR="00000000" w:rsidRPr="00000000">
        <w:rPr>
          <w:rtl w:val="0"/>
        </w:rPr>
        <w:t xml:space="preserve">En lien avec les conceptions linguistiques et les perspectives développementales décrites, il sera certainement fructueux pour les débats de croiser des approches et de mettre des notions ou des approches méthodologiques en dialogue : on pense par exemple aux croisements possibles entre grammaire et typologie contrastive, grammaire en langue des signes, grammaire et multimodalité, grammaire et variation sociolinguistique, ou encore à l’étude de phénomènes grammaticaux à travers les corpus d’apprenants. </w:t>
      </w:r>
    </w:p>
    <w:p w:rsidR="00000000" w:rsidDel="00000000" w:rsidP="00000000" w:rsidRDefault="00000000" w:rsidRPr="00000000" w14:paraId="0000000E">
      <w:pPr>
        <w:spacing w:line="256.8" w:lineRule="auto"/>
        <w:jc w:val="both"/>
        <w:rPr/>
      </w:pPr>
      <w:r w:rsidDel="00000000" w:rsidR="00000000" w:rsidRPr="00000000">
        <w:rPr>
          <w:rtl w:val="0"/>
        </w:rPr>
      </w:r>
    </w:p>
    <w:p w:rsidR="00000000" w:rsidDel="00000000" w:rsidP="00000000" w:rsidRDefault="00000000" w:rsidRPr="00000000" w14:paraId="0000000F">
      <w:pPr>
        <w:spacing w:line="256.8" w:lineRule="auto"/>
        <w:jc w:val="both"/>
        <w:rPr/>
      </w:pPr>
      <w:r w:rsidDel="00000000" w:rsidR="00000000" w:rsidRPr="00000000">
        <w:rPr>
          <w:rtl w:val="0"/>
        </w:rPr>
        <w:t xml:space="preserve">Enfin, aussi bien du point de vue des approches et des méthodologies, des trajectoires de développement, que de celui de la correspondance entre grammaires d’enseignement et d’apprentissage, l’interface entre acquisition et didactique des langues pourra également être interrogée (Véronique, 2009). </w:t>
      </w:r>
    </w:p>
    <w:p w:rsidR="00000000" w:rsidDel="00000000" w:rsidP="00000000" w:rsidRDefault="00000000" w:rsidRPr="00000000" w14:paraId="00000010">
      <w:pPr>
        <w:spacing w:line="256.8" w:lineRule="auto"/>
        <w:jc w:val="both"/>
        <w:rPr/>
      </w:pPr>
      <w:r w:rsidDel="00000000" w:rsidR="00000000" w:rsidRPr="00000000">
        <w:rPr>
          <w:rtl w:val="0"/>
        </w:rPr>
      </w:r>
    </w:p>
    <w:p w:rsidR="00000000" w:rsidDel="00000000" w:rsidP="00000000" w:rsidRDefault="00000000" w:rsidRPr="00000000" w14:paraId="00000011">
      <w:pPr>
        <w:spacing w:line="256.8" w:lineRule="auto"/>
        <w:jc w:val="both"/>
        <w:rPr/>
      </w:pPr>
      <w:r w:rsidDel="00000000" w:rsidR="00000000" w:rsidRPr="00000000">
        <w:rPr>
          <w:rtl w:val="0"/>
        </w:rPr>
        <w:t xml:space="preserve">Les journées d’études seront organisées autour de deux conférences plénières et plusieurs communications invitées. Des plages horaires importantes seront consacrées aux communications affichées. Ces communications pourront porter sur tout aspect de l’acquisition de la grammaire en L2, de manière non exhaustive : </w:t>
      </w:r>
    </w:p>
    <w:p w:rsidR="00000000" w:rsidDel="00000000" w:rsidP="00000000" w:rsidRDefault="00000000" w:rsidRPr="00000000" w14:paraId="00000012">
      <w:pPr>
        <w:numPr>
          <w:ilvl w:val="0"/>
          <w:numId w:val="2"/>
        </w:numPr>
        <w:spacing w:after="0" w:afterAutospacing="0" w:before="240" w:line="256.8" w:lineRule="auto"/>
        <w:ind w:left="720" w:hanging="360"/>
      </w:pPr>
      <w:r w:rsidDel="00000000" w:rsidR="00000000" w:rsidRPr="00000000">
        <w:rPr>
          <w:rtl w:val="0"/>
        </w:rPr>
        <w:t xml:space="preserve">Trajectoires de développement</w:t>
      </w:r>
    </w:p>
    <w:p w:rsidR="00000000" w:rsidDel="00000000" w:rsidP="00000000" w:rsidRDefault="00000000" w:rsidRPr="00000000" w14:paraId="00000013">
      <w:pPr>
        <w:numPr>
          <w:ilvl w:val="0"/>
          <w:numId w:val="2"/>
        </w:numPr>
        <w:spacing w:after="0" w:afterAutospacing="0" w:before="0" w:beforeAutospacing="0" w:line="256.8" w:lineRule="auto"/>
        <w:ind w:left="720" w:hanging="360"/>
      </w:pPr>
      <w:r w:rsidDel="00000000" w:rsidR="00000000" w:rsidRPr="00000000">
        <w:rPr>
          <w:rtl w:val="0"/>
        </w:rPr>
        <w:t xml:space="preserve">Grammaire et corpus d’apprenants </w:t>
      </w:r>
    </w:p>
    <w:p w:rsidR="00000000" w:rsidDel="00000000" w:rsidP="00000000" w:rsidRDefault="00000000" w:rsidRPr="00000000" w14:paraId="00000014">
      <w:pPr>
        <w:numPr>
          <w:ilvl w:val="0"/>
          <w:numId w:val="2"/>
        </w:numPr>
        <w:spacing w:after="0" w:afterAutospacing="0" w:before="0" w:beforeAutospacing="0" w:lineRule="auto"/>
        <w:ind w:left="720" w:hanging="360"/>
      </w:pPr>
      <w:r w:rsidDel="00000000" w:rsidR="00000000" w:rsidRPr="00000000">
        <w:rPr>
          <w:rtl w:val="0"/>
        </w:rPr>
        <w:t xml:space="preserve">Grammaire et usage (variation, sociolinguistique, interaction)</w:t>
      </w:r>
    </w:p>
    <w:p w:rsidR="00000000" w:rsidDel="00000000" w:rsidP="00000000" w:rsidRDefault="00000000" w:rsidRPr="00000000" w14:paraId="00000015">
      <w:pPr>
        <w:numPr>
          <w:ilvl w:val="0"/>
          <w:numId w:val="2"/>
        </w:numPr>
        <w:spacing w:after="0" w:afterAutospacing="0" w:before="0" w:beforeAutospacing="0" w:lineRule="auto"/>
        <w:ind w:left="720" w:hanging="360"/>
      </w:pPr>
      <w:r w:rsidDel="00000000" w:rsidR="00000000" w:rsidRPr="00000000">
        <w:rPr>
          <w:rtl w:val="0"/>
        </w:rPr>
        <w:t xml:space="preserve">Grammaire et multimodalité</w:t>
      </w:r>
    </w:p>
    <w:p w:rsidR="00000000" w:rsidDel="00000000" w:rsidP="00000000" w:rsidRDefault="00000000" w:rsidRPr="00000000" w14:paraId="00000016">
      <w:pPr>
        <w:numPr>
          <w:ilvl w:val="0"/>
          <w:numId w:val="2"/>
        </w:numPr>
        <w:spacing w:after="0" w:afterAutospacing="0" w:before="0" w:beforeAutospacing="0" w:lineRule="auto"/>
        <w:ind w:left="720" w:hanging="360"/>
      </w:pPr>
      <w:r w:rsidDel="00000000" w:rsidR="00000000" w:rsidRPr="00000000">
        <w:rPr>
          <w:rtl w:val="0"/>
        </w:rPr>
        <w:t xml:space="preserve">Apprentissage-enseignement de la grammaire en L2</w:t>
      </w:r>
    </w:p>
    <w:p w:rsidR="00000000" w:rsidDel="00000000" w:rsidP="00000000" w:rsidRDefault="00000000" w:rsidRPr="00000000" w14:paraId="00000017">
      <w:pPr>
        <w:numPr>
          <w:ilvl w:val="0"/>
          <w:numId w:val="2"/>
        </w:numPr>
        <w:spacing w:after="0" w:afterAutospacing="0" w:before="0" w:beforeAutospacing="0" w:lineRule="auto"/>
        <w:ind w:left="720" w:hanging="360"/>
      </w:pPr>
      <w:r w:rsidDel="00000000" w:rsidR="00000000" w:rsidRPr="00000000">
        <w:rPr>
          <w:rtl w:val="0"/>
        </w:rPr>
        <w:t xml:space="preserve">Influences translinguistiques en grammaire </w:t>
      </w:r>
    </w:p>
    <w:p w:rsidR="00000000" w:rsidDel="00000000" w:rsidP="00000000" w:rsidRDefault="00000000" w:rsidRPr="00000000" w14:paraId="00000018">
      <w:pPr>
        <w:numPr>
          <w:ilvl w:val="0"/>
          <w:numId w:val="2"/>
        </w:numPr>
        <w:spacing w:after="0" w:afterAutospacing="0" w:before="0" w:beforeAutospacing="0" w:lineRule="auto"/>
        <w:ind w:left="720" w:hanging="360"/>
      </w:pPr>
      <w:r w:rsidDel="00000000" w:rsidR="00000000" w:rsidRPr="00000000">
        <w:rPr>
          <w:rtl w:val="0"/>
        </w:rPr>
        <w:t xml:space="preserve">Grammaire en langue des signes </w:t>
      </w:r>
    </w:p>
    <w:p w:rsidR="00000000" w:rsidDel="00000000" w:rsidP="00000000" w:rsidRDefault="00000000" w:rsidRPr="00000000" w14:paraId="00000019">
      <w:pPr>
        <w:numPr>
          <w:ilvl w:val="0"/>
          <w:numId w:val="2"/>
        </w:numPr>
        <w:spacing w:after="0" w:afterAutospacing="0" w:before="0" w:beforeAutospacing="0" w:lineRule="auto"/>
        <w:ind w:left="720" w:hanging="360"/>
      </w:pPr>
      <w:r w:rsidDel="00000000" w:rsidR="00000000" w:rsidRPr="00000000">
        <w:rPr>
          <w:rtl w:val="0"/>
        </w:rPr>
        <w:t xml:space="preserve">Typologies et analyses contrastives</w:t>
      </w:r>
    </w:p>
    <w:p w:rsidR="00000000" w:rsidDel="00000000" w:rsidP="00000000" w:rsidRDefault="00000000" w:rsidRPr="00000000" w14:paraId="0000001A">
      <w:pPr>
        <w:numPr>
          <w:ilvl w:val="0"/>
          <w:numId w:val="2"/>
        </w:numPr>
        <w:spacing w:after="240" w:before="0" w:beforeAutospacing="0" w:lineRule="auto"/>
        <w:ind w:left="720" w:hanging="360"/>
      </w:pPr>
      <w:r w:rsidDel="00000000" w:rsidR="00000000" w:rsidRPr="00000000">
        <w:rPr>
          <w:rtl w:val="0"/>
        </w:rPr>
        <w:t xml:space="preserve">Interface syntaxe, sémantique, cognition</w:t>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pacing w:line="256.8" w:lineRule="auto"/>
        <w:rPr>
          <w:color w:val="333333"/>
        </w:rPr>
      </w:pPr>
      <w:r w:rsidDel="00000000" w:rsidR="00000000" w:rsidRPr="00000000">
        <w:rPr>
          <w:color w:val="333333"/>
          <w:rtl w:val="0"/>
        </w:rPr>
        <w:t xml:space="preserve">Les propositions de communication affichée (poster) de 500 mots (bibliographie incluse) sont à envoyer à l’adresse </w:t>
      </w:r>
      <w:hyperlink r:id="rId6">
        <w:r w:rsidDel="00000000" w:rsidR="00000000" w:rsidRPr="00000000">
          <w:rPr>
            <w:color w:val="1155cc"/>
            <w:u w:val="single"/>
            <w:rtl w:val="0"/>
          </w:rPr>
          <w:t xml:space="preserve">grammairereal2@sciencesconf.org</w:t>
        </w:r>
      </w:hyperlink>
      <w:r w:rsidDel="00000000" w:rsidR="00000000" w:rsidRPr="00000000">
        <w:rPr>
          <w:color w:val="333333"/>
          <w:rtl w:val="0"/>
        </w:rPr>
        <w:t xml:space="preserve"> </w:t>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pacing w:line="256.8" w:lineRule="auto"/>
        <w:rPr>
          <w:color w:val="333333"/>
        </w:rPr>
      </w:pPr>
      <w:r w:rsidDel="00000000" w:rsidR="00000000" w:rsidRPr="00000000">
        <w:rPr>
          <w:rtl w:val="0"/>
        </w:rPr>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pacing w:line="256.8" w:lineRule="auto"/>
        <w:rPr>
          <w:color w:val="333333"/>
        </w:rPr>
      </w:pPr>
      <w:r w:rsidDel="00000000" w:rsidR="00000000" w:rsidRPr="00000000">
        <w:rPr>
          <w:color w:val="333333"/>
          <w:rtl w:val="0"/>
        </w:rPr>
        <w:t xml:space="preserve">Pour plus d’information : </w:t>
      </w:r>
      <w:hyperlink r:id="rId7">
        <w:r w:rsidDel="00000000" w:rsidR="00000000" w:rsidRPr="00000000">
          <w:rPr>
            <w:color w:val="1155cc"/>
            <w:u w:val="single"/>
            <w:rtl w:val="0"/>
          </w:rPr>
          <w:t xml:space="preserve">https://grammairereal2.sciencesconf.org/</w:t>
        </w:r>
      </w:hyperlink>
      <w:r w:rsidDel="00000000" w:rsidR="00000000" w:rsidRPr="00000000">
        <w:rPr>
          <w:color w:val="333333"/>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160" w:line="256.8" w:lineRule="auto"/>
        <w:rPr>
          <w:b w:val="1"/>
          <w:color w:val="333333"/>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160" w:line="256.8" w:lineRule="auto"/>
        <w:rPr>
          <w:color w:val="333333"/>
        </w:rPr>
      </w:pPr>
      <w:r w:rsidDel="00000000" w:rsidR="00000000" w:rsidRPr="00000000">
        <w:rPr>
          <w:b w:val="1"/>
          <w:color w:val="333333"/>
          <w:rtl w:val="0"/>
        </w:rPr>
        <w:t xml:space="preserve">Calendrier </w:t>
      </w:r>
      <w:r w:rsidDel="00000000" w:rsidR="00000000" w:rsidRPr="00000000">
        <w:rPr>
          <w:rtl w:val="0"/>
        </w:rPr>
      </w:r>
    </w:p>
    <w:p w:rsidR="00000000" w:rsidDel="00000000" w:rsidP="00000000" w:rsidRDefault="00000000" w:rsidRPr="00000000" w14:paraId="00000020">
      <w:pPr>
        <w:numPr>
          <w:ilvl w:val="0"/>
          <w:numId w:val="1"/>
        </w:numPr>
        <w:pBdr>
          <w:top w:color="auto" w:space="0" w:sz="0" w:val="none"/>
          <w:bottom w:color="auto" w:space="0" w:sz="0" w:val="none"/>
          <w:right w:color="auto" w:space="0" w:sz="0" w:val="none"/>
          <w:between w:color="auto" w:space="0" w:sz="0" w:val="none"/>
        </w:pBdr>
        <w:spacing w:line="256.8" w:lineRule="auto"/>
        <w:ind w:left="720" w:hanging="360"/>
        <w:rPr>
          <w:sz w:val="22"/>
          <w:szCs w:val="22"/>
        </w:rPr>
      </w:pPr>
      <w:r w:rsidDel="00000000" w:rsidR="00000000" w:rsidRPr="00000000">
        <w:rPr>
          <w:color w:val="333333"/>
          <w:rtl w:val="0"/>
        </w:rPr>
        <w:t xml:space="preserve">5 juin 2023: Date limite de soumission de proposition de posters </w:t>
      </w:r>
    </w:p>
    <w:p w:rsidR="00000000" w:rsidDel="00000000" w:rsidP="00000000" w:rsidRDefault="00000000" w:rsidRPr="00000000" w14:paraId="00000021">
      <w:pPr>
        <w:numPr>
          <w:ilvl w:val="0"/>
          <w:numId w:val="1"/>
        </w:numPr>
        <w:pBdr>
          <w:top w:color="auto" w:space="0" w:sz="0" w:val="none"/>
          <w:bottom w:color="auto" w:space="0" w:sz="0" w:val="none"/>
          <w:right w:color="auto" w:space="0" w:sz="0" w:val="none"/>
          <w:between w:color="auto" w:space="0" w:sz="0" w:val="none"/>
        </w:pBdr>
        <w:spacing w:line="256.8" w:lineRule="auto"/>
        <w:ind w:left="720" w:hanging="360"/>
        <w:rPr>
          <w:sz w:val="22"/>
          <w:szCs w:val="22"/>
        </w:rPr>
      </w:pPr>
      <w:r w:rsidDel="00000000" w:rsidR="00000000" w:rsidRPr="00000000">
        <w:rPr>
          <w:color w:val="333333"/>
          <w:rtl w:val="0"/>
        </w:rPr>
        <w:t xml:space="preserve">Début juillet 2023: Notification d’acceptation aux participant.e.s</w:t>
      </w:r>
    </w:p>
    <w:p w:rsidR="00000000" w:rsidDel="00000000" w:rsidP="00000000" w:rsidRDefault="00000000" w:rsidRPr="00000000" w14:paraId="00000022">
      <w:pPr>
        <w:numPr>
          <w:ilvl w:val="0"/>
          <w:numId w:val="1"/>
        </w:numPr>
        <w:pBdr>
          <w:top w:color="auto" w:space="0" w:sz="0" w:val="none"/>
          <w:bottom w:color="auto" w:space="0" w:sz="0" w:val="none"/>
          <w:right w:color="auto" w:space="0" w:sz="0" w:val="none"/>
          <w:between w:color="auto" w:space="0" w:sz="0" w:val="none"/>
        </w:pBdr>
        <w:spacing w:line="256.8" w:lineRule="auto"/>
        <w:ind w:left="720" w:hanging="360"/>
        <w:rPr>
          <w:sz w:val="22"/>
          <w:szCs w:val="22"/>
        </w:rPr>
      </w:pPr>
      <w:r w:rsidDel="00000000" w:rsidR="00000000" w:rsidRPr="00000000">
        <w:rPr>
          <w:color w:val="333333"/>
          <w:rtl w:val="0"/>
        </w:rPr>
        <w:t xml:space="preserve">Début septembre 2023: Diffusion du programme prévisionnel </w:t>
      </w:r>
      <w:r w:rsidDel="00000000" w:rsidR="00000000" w:rsidRPr="00000000">
        <w:rPr>
          <w:rtl w:val="0"/>
        </w:rPr>
      </w:r>
    </w:p>
    <w:p w:rsidR="00000000" w:rsidDel="00000000" w:rsidP="00000000" w:rsidRDefault="00000000" w:rsidRPr="00000000" w14:paraId="00000023">
      <w:pPr>
        <w:spacing w:after="240" w:before="240" w:lineRule="auto"/>
        <w:jc w:val="both"/>
        <w:rPr>
          <w:b w:val="1"/>
        </w:rPr>
      </w:pPr>
      <w:r w:rsidDel="00000000" w:rsidR="00000000" w:rsidRPr="00000000">
        <w:rPr>
          <w:b w:val="1"/>
          <w:rtl w:val="0"/>
        </w:rPr>
        <w:t xml:space="preserve">Références bibliographiques </w:t>
      </w:r>
    </w:p>
    <w:p w:rsidR="00000000" w:rsidDel="00000000" w:rsidP="00000000" w:rsidRDefault="00000000" w:rsidRPr="00000000" w14:paraId="00000024">
      <w:pPr>
        <w:widowControl w:val="0"/>
        <w:spacing w:after="240" w:before="240" w:line="240" w:lineRule="auto"/>
        <w:jc w:val="both"/>
        <w:rPr/>
      </w:pPr>
      <w:r w:rsidDel="00000000" w:rsidR="00000000" w:rsidRPr="00000000">
        <w:rPr>
          <w:rtl w:val="0"/>
        </w:rPr>
        <w:t xml:space="preserve">Bartning, I., &amp; Schlyter, S. (2004). Itinéraires acquisitionnels et stades de développement en français L2. </w:t>
      </w:r>
      <w:r w:rsidDel="00000000" w:rsidR="00000000" w:rsidRPr="00000000">
        <w:rPr>
          <w:i w:val="1"/>
          <w:rtl w:val="0"/>
        </w:rPr>
        <w:t xml:space="preserve">Journal of French language studies</w:t>
      </w:r>
      <w:r w:rsidDel="00000000" w:rsidR="00000000" w:rsidRPr="00000000">
        <w:rPr>
          <w:rtl w:val="0"/>
        </w:rPr>
        <w:t xml:space="preserve">, </w:t>
      </w:r>
      <w:r w:rsidDel="00000000" w:rsidR="00000000" w:rsidRPr="00000000">
        <w:rPr>
          <w:i w:val="1"/>
          <w:rtl w:val="0"/>
        </w:rPr>
        <w:t xml:space="preserve">14</w:t>
      </w:r>
      <w:r w:rsidDel="00000000" w:rsidR="00000000" w:rsidRPr="00000000">
        <w:rPr>
          <w:rtl w:val="0"/>
        </w:rPr>
        <w:t xml:space="preserve">(3), 281-299.</w:t>
      </w:r>
    </w:p>
    <w:p w:rsidR="00000000" w:rsidDel="00000000" w:rsidP="00000000" w:rsidRDefault="00000000" w:rsidRPr="00000000" w14:paraId="00000025">
      <w:pPr>
        <w:widowControl w:val="0"/>
        <w:spacing w:after="240" w:line="240" w:lineRule="auto"/>
        <w:jc w:val="both"/>
        <w:rPr/>
      </w:pPr>
      <w:r w:rsidDel="00000000" w:rsidR="00000000" w:rsidRPr="00000000">
        <w:rPr>
          <w:rtl w:val="0"/>
        </w:rPr>
        <w:t xml:space="preserve">Beacco, J.-C. (2010). </w:t>
      </w:r>
      <w:r w:rsidDel="00000000" w:rsidR="00000000" w:rsidRPr="00000000">
        <w:rPr>
          <w:i w:val="1"/>
          <w:rtl w:val="0"/>
        </w:rPr>
        <w:t xml:space="preserve">La didactique de la grammaire dans l’enseignement du français et des langues</w:t>
      </w:r>
      <w:r w:rsidDel="00000000" w:rsidR="00000000" w:rsidRPr="00000000">
        <w:rPr>
          <w:rtl w:val="0"/>
        </w:rPr>
        <w:t xml:space="preserve">. Didier. </w:t>
      </w:r>
    </w:p>
    <w:p w:rsidR="00000000" w:rsidDel="00000000" w:rsidP="00000000" w:rsidRDefault="00000000" w:rsidRPr="00000000" w14:paraId="00000026">
      <w:pPr>
        <w:widowControl w:val="0"/>
        <w:spacing w:after="240" w:line="240" w:lineRule="auto"/>
        <w:jc w:val="both"/>
        <w:rPr/>
      </w:pPr>
      <w:r w:rsidDel="00000000" w:rsidR="00000000" w:rsidRPr="00000000">
        <w:rPr>
          <w:rtl w:val="0"/>
        </w:rPr>
        <w:t xml:space="preserve">Ellis, N. C. (2008). Usage-based and form-focused SLA: The implicit and explicit learning of constructions. </w:t>
      </w:r>
      <w:r w:rsidDel="00000000" w:rsidR="00000000" w:rsidRPr="00000000">
        <w:rPr>
          <w:i w:val="1"/>
          <w:rtl w:val="0"/>
        </w:rPr>
        <w:t xml:space="preserve">Language in the context of use: Cognitive and discourse approaches to language</w:t>
      </w:r>
      <w:r w:rsidDel="00000000" w:rsidR="00000000" w:rsidRPr="00000000">
        <w:rPr>
          <w:rtl w:val="0"/>
        </w:rPr>
        <w:t xml:space="preserve">, 93-120.</w:t>
      </w:r>
    </w:p>
    <w:p w:rsidR="00000000" w:rsidDel="00000000" w:rsidP="00000000" w:rsidRDefault="00000000" w:rsidRPr="00000000" w14:paraId="00000027">
      <w:pPr>
        <w:widowControl w:val="0"/>
        <w:spacing w:after="240" w:line="240" w:lineRule="auto"/>
        <w:jc w:val="both"/>
        <w:rPr/>
      </w:pPr>
      <w:r w:rsidDel="00000000" w:rsidR="00000000" w:rsidRPr="00000000">
        <w:rPr>
          <w:rtl w:val="0"/>
        </w:rPr>
        <w:t xml:space="preserve">Godfroid, A. (2023). Hypotheses about the interface between explicit and implicit knowledge in second language acquisition. In </w:t>
      </w:r>
      <w:r w:rsidDel="00000000" w:rsidR="00000000" w:rsidRPr="00000000">
        <w:rPr>
          <w:i w:val="1"/>
          <w:rtl w:val="0"/>
        </w:rPr>
        <w:t xml:space="preserve">The Routledge handbook of second language acquisition and psycholinguistics</w:t>
      </w:r>
      <w:r w:rsidDel="00000000" w:rsidR="00000000" w:rsidRPr="00000000">
        <w:rPr>
          <w:rtl w:val="0"/>
        </w:rPr>
        <w:t xml:space="preserve"> (pp. 294-307). Routledge.</w:t>
      </w:r>
    </w:p>
    <w:p w:rsidR="00000000" w:rsidDel="00000000" w:rsidP="00000000" w:rsidRDefault="00000000" w:rsidRPr="00000000" w14:paraId="00000028">
      <w:pPr>
        <w:widowControl w:val="0"/>
        <w:spacing w:after="240" w:line="240" w:lineRule="auto"/>
        <w:jc w:val="both"/>
        <w:rPr/>
      </w:pPr>
      <w:r w:rsidDel="00000000" w:rsidR="00000000" w:rsidRPr="00000000">
        <w:rPr>
          <w:rtl w:val="0"/>
        </w:rPr>
        <w:t xml:space="preserve">Goldschneider, J. M. &amp; DeKeyser R. M. (2005). Explaining the “Natural Order of L2 Morpheme Acquisition” in English: A Meta-analysis of Multiple Determinants. </w:t>
      </w:r>
      <w:r w:rsidDel="00000000" w:rsidR="00000000" w:rsidRPr="00000000">
        <w:rPr>
          <w:i w:val="1"/>
          <w:rtl w:val="0"/>
        </w:rPr>
        <w:t xml:space="preserve">Language Learning</w:t>
      </w:r>
      <w:r w:rsidDel="00000000" w:rsidR="00000000" w:rsidRPr="00000000">
        <w:rPr>
          <w:rtl w:val="0"/>
        </w:rPr>
        <w:t xml:space="preserve">, vol. 55, n°1, 27-77. </w:t>
      </w:r>
    </w:p>
    <w:p w:rsidR="00000000" w:rsidDel="00000000" w:rsidP="00000000" w:rsidRDefault="00000000" w:rsidRPr="00000000" w14:paraId="00000029">
      <w:pPr>
        <w:widowControl w:val="0"/>
        <w:spacing w:after="240" w:line="240" w:lineRule="auto"/>
        <w:jc w:val="both"/>
        <w:rPr/>
      </w:pPr>
      <w:r w:rsidDel="00000000" w:rsidR="00000000" w:rsidRPr="00000000">
        <w:rPr>
          <w:rtl w:val="0"/>
        </w:rPr>
        <w:t xml:space="preserve">Granget, C., Dat, M. A., Guedat-Bittighoffer, D., &amp; Cuet, C. (2017). Connaissances et usages en L2: nouvelles perspectives. In </w:t>
      </w:r>
      <w:r w:rsidDel="00000000" w:rsidR="00000000" w:rsidRPr="00000000">
        <w:rPr>
          <w:i w:val="1"/>
          <w:rtl w:val="0"/>
        </w:rPr>
        <w:t xml:space="preserve">SHS Web of Conferences</w:t>
      </w:r>
      <w:r w:rsidDel="00000000" w:rsidR="00000000" w:rsidRPr="00000000">
        <w:rPr>
          <w:rtl w:val="0"/>
        </w:rPr>
        <w:t xml:space="preserve"> (Vol. 38, p. 1). EDP Sciences.</w:t>
      </w:r>
    </w:p>
    <w:p w:rsidR="00000000" w:rsidDel="00000000" w:rsidP="00000000" w:rsidRDefault="00000000" w:rsidRPr="00000000" w14:paraId="0000002A">
      <w:pPr>
        <w:widowControl w:val="0"/>
        <w:spacing w:after="240" w:line="240" w:lineRule="auto"/>
        <w:jc w:val="both"/>
        <w:rPr/>
      </w:pPr>
      <w:r w:rsidDel="00000000" w:rsidR="00000000" w:rsidRPr="00000000">
        <w:rPr>
          <w:rtl w:val="0"/>
        </w:rPr>
        <w:t xml:space="preserve">Klein,W. &amp; Perdue C. (1992). </w:t>
      </w:r>
      <w:r w:rsidDel="00000000" w:rsidR="00000000" w:rsidRPr="00000000">
        <w:rPr>
          <w:i w:val="1"/>
          <w:rtl w:val="0"/>
        </w:rPr>
        <w:t xml:space="preserve">Utterance Structure: Developing Grammars Again</w:t>
      </w:r>
      <w:r w:rsidDel="00000000" w:rsidR="00000000" w:rsidRPr="00000000">
        <w:rPr>
          <w:rtl w:val="0"/>
        </w:rPr>
        <w:t xml:space="preserve">. John Benjamins. </w:t>
      </w:r>
    </w:p>
    <w:p w:rsidR="00000000" w:rsidDel="00000000" w:rsidP="00000000" w:rsidRDefault="00000000" w:rsidRPr="00000000" w14:paraId="0000002B">
      <w:pPr>
        <w:widowControl w:val="0"/>
        <w:spacing w:after="120" w:before="120" w:line="240" w:lineRule="auto"/>
        <w:jc w:val="both"/>
        <w:rPr/>
      </w:pPr>
      <w:r w:rsidDel="00000000" w:rsidR="00000000" w:rsidRPr="00000000">
        <w:rPr>
          <w:rtl w:val="0"/>
        </w:rPr>
        <w:t xml:space="preserve">Langacker, Ronald W. (2008). </w:t>
      </w:r>
      <w:r w:rsidDel="00000000" w:rsidR="00000000" w:rsidRPr="00000000">
        <w:rPr>
          <w:i w:val="1"/>
          <w:rtl w:val="0"/>
        </w:rPr>
        <w:t xml:space="preserve">Cognitive Grammar. A basic introduction.</w:t>
      </w:r>
      <w:r w:rsidDel="00000000" w:rsidR="00000000" w:rsidRPr="00000000">
        <w:rPr>
          <w:rtl w:val="0"/>
        </w:rPr>
        <w:t xml:space="preserve"> Oxford University Press.</w:t>
      </w:r>
    </w:p>
    <w:p w:rsidR="00000000" w:rsidDel="00000000" w:rsidP="00000000" w:rsidRDefault="00000000" w:rsidRPr="00000000" w14:paraId="0000002C">
      <w:pPr>
        <w:widowControl w:val="0"/>
        <w:spacing w:after="120" w:before="120" w:line="240" w:lineRule="auto"/>
        <w:jc w:val="both"/>
        <w:rPr/>
      </w:pPr>
      <w:r w:rsidDel="00000000" w:rsidR="00000000" w:rsidRPr="00000000">
        <w:rPr>
          <w:rtl w:val="0"/>
        </w:rPr>
        <w:t xml:space="preserve">Legallois, D. (2021). Illustrations et réflexions sur une opération cognitive fondamentale : la schématisation en linguistique – du lexique aux constructions grammaticales. In François, J. (dir.), </w:t>
      </w:r>
      <w:r w:rsidDel="00000000" w:rsidR="00000000" w:rsidRPr="00000000">
        <w:rPr>
          <w:i w:val="1"/>
          <w:rtl w:val="0"/>
        </w:rPr>
        <w:t xml:space="preserve">L’expansion pluridisciplinaire des grammaires de constructions</w:t>
      </w:r>
      <w:r w:rsidDel="00000000" w:rsidR="00000000" w:rsidRPr="00000000">
        <w:rPr>
          <w:rtl w:val="0"/>
        </w:rPr>
        <w:t xml:space="preserve">, </w:t>
      </w:r>
      <w:r w:rsidDel="00000000" w:rsidR="00000000" w:rsidRPr="00000000">
        <w:rPr>
          <w:i w:val="1"/>
          <w:rtl w:val="0"/>
        </w:rPr>
        <w:t xml:space="preserve">Bibliothèque de Syntaxe &amp; Sémantique</w:t>
      </w:r>
      <w:r w:rsidDel="00000000" w:rsidR="00000000" w:rsidRPr="00000000">
        <w:rPr>
          <w:rtl w:val="0"/>
        </w:rPr>
        <w:t xml:space="preserve">, 21–46. Presses universitaires de Caen.</w:t>
      </w:r>
    </w:p>
    <w:p w:rsidR="00000000" w:rsidDel="00000000" w:rsidP="00000000" w:rsidRDefault="00000000" w:rsidRPr="00000000" w14:paraId="0000002D">
      <w:pPr>
        <w:widowControl w:val="0"/>
        <w:spacing w:after="120" w:before="120" w:line="240" w:lineRule="auto"/>
        <w:jc w:val="both"/>
        <w:rPr/>
      </w:pPr>
      <w:r w:rsidDel="00000000" w:rsidR="00000000" w:rsidRPr="00000000">
        <w:rPr>
          <w:rtl w:val="0"/>
        </w:rPr>
        <w:t xml:space="preserve">Norris, J. &amp; Ortega, L. (2006). </w:t>
      </w:r>
      <w:r w:rsidDel="00000000" w:rsidR="00000000" w:rsidRPr="00000000">
        <w:rPr>
          <w:i w:val="1"/>
          <w:rtl w:val="0"/>
        </w:rPr>
        <w:t xml:space="preserve">Synthesizing Research on Language Learning and Teaching</w:t>
      </w:r>
      <w:r w:rsidDel="00000000" w:rsidR="00000000" w:rsidRPr="00000000">
        <w:rPr>
          <w:rtl w:val="0"/>
        </w:rPr>
        <w:t xml:space="preserve">. John Benjamins. </w:t>
      </w:r>
    </w:p>
    <w:p w:rsidR="00000000" w:rsidDel="00000000" w:rsidP="00000000" w:rsidRDefault="00000000" w:rsidRPr="00000000" w14:paraId="0000002E">
      <w:pPr>
        <w:widowControl w:val="0"/>
        <w:spacing w:after="240" w:line="240" w:lineRule="auto"/>
        <w:jc w:val="both"/>
        <w:rPr/>
      </w:pPr>
      <w:r w:rsidDel="00000000" w:rsidR="00000000" w:rsidRPr="00000000">
        <w:rPr>
          <w:rtl w:val="0"/>
        </w:rPr>
        <w:t xml:space="preserve">Véronique, G. D. (2009). </w:t>
      </w:r>
      <w:r w:rsidDel="00000000" w:rsidR="00000000" w:rsidRPr="00000000">
        <w:rPr>
          <w:i w:val="1"/>
          <w:rtl w:val="0"/>
        </w:rPr>
        <w:t xml:space="preserve">L’acquisition de la grammaire du français, langue étrangère</w:t>
      </w:r>
      <w:r w:rsidDel="00000000" w:rsidR="00000000" w:rsidRPr="00000000">
        <w:rPr>
          <w:rtl w:val="0"/>
        </w:rPr>
        <w:t xml:space="preserve">. Didier.</w:t>
      </w:r>
    </w:p>
    <w:p w:rsidR="00000000" w:rsidDel="00000000" w:rsidP="00000000" w:rsidRDefault="00000000" w:rsidRPr="00000000" w14:paraId="0000002F">
      <w:pPr>
        <w:widowControl w:val="0"/>
        <w:spacing w:after="240" w:line="240" w:lineRule="auto"/>
        <w:jc w:val="both"/>
        <w:rPr/>
      </w:pPr>
      <w:r w:rsidDel="00000000" w:rsidR="00000000" w:rsidRPr="00000000">
        <w:rPr>
          <w:rtl w:val="0"/>
        </w:rPr>
        <w:t xml:space="preserve">Véronique, G. D. (2017). La grammaire en français langue étrangère: questions d’acquisition et d’intervention. </w:t>
      </w:r>
      <w:r w:rsidDel="00000000" w:rsidR="00000000" w:rsidRPr="00000000">
        <w:rPr>
          <w:i w:val="1"/>
          <w:rtl w:val="0"/>
        </w:rPr>
        <w:t xml:space="preserve">Lidil. Revue de linguistique et de didactique des langues</w:t>
      </w:r>
      <w:r w:rsidDel="00000000" w:rsidR="00000000" w:rsidRPr="00000000">
        <w:rPr>
          <w:rtl w:val="0"/>
        </w:rPr>
        <w:t xml:space="preserve">, (56).</w:t>
      </w:r>
    </w:p>
    <w:p w:rsidR="00000000" w:rsidDel="00000000" w:rsidP="00000000" w:rsidRDefault="00000000" w:rsidRPr="00000000" w14:paraId="00000030">
      <w:pPr>
        <w:widowControl w:val="0"/>
        <w:spacing w:after="240" w:line="240" w:lineRule="auto"/>
        <w:jc w:val="both"/>
        <w:rPr>
          <w:color w:val="333333"/>
        </w:rPr>
      </w:pPr>
      <w:r w:rsidDel="00000000" w:rsidR="00000000" w:rsidRPr="00000000">
        <w:rPr>
          <w:rtl w:val="0"/>
        </w:rPr>
        <w:t xml:space="preserve">Véronique, G. D. (2021). L’acquisition de la langue du pays de travail par des populations de migrants. In P. Leclercq, A. Edmonds &amp; E. Sneed German (dir.) </w:t>
      </w:r>
      <w:r w:rsidDel="00000000" w:rsidR="00000000" w:rsidRPr="00000000">
        <w:rPr>
          <w:i w:val="1"/>
          <w:rtl w:val="0"/>
        </w:rPr>
        <w:t xml:space="preserve">Introduction à l’acquisition des langues étrangères</w:t>
      </w:r>
      <w:r w:rsidDel="00000000" w:rsidR="00000000" w:rsidRPr="00000000">
        <w:rPr>
          <w:rtl w:val="0"/>
        </w:rPr>
        <w:t xml:space="preserve">, </w:t>
      </w:r>
      <w:r w:rsidDel="00000000" w:rsidR="00000000" w:rsidRPr="00000000">
        <w:rPr>
          <w:color w:val="333333"/>
          <w:rtl w:val="0"/>
        </w:rPr>
        <w:t xml:space="preserve">De Boeck Supérieur.  </w:t>
      </w:r>
    </w:p>
    <w:p w:rsidR="00000000" w:rsidDel="00000000" w:rsidP="00000000" w:rsidRDefault="00000000" w:rsidRPr="00000000" w14:paraId="00000031">
      <w:pPr>
        <w:spacing w:after="240" w:lineRule="auto"/>
        <w:rPr>
          <w:color w:val="333333"/>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160" w:line="256.8" w:lineRule="auto"/>
        <w:rPr>
          <w:b w:val="1"/>
          <w:color w:val="333333"/>
        </w:rPr>
      </w:pPr>
      <w:r w:rsidDel="00000000" w:rsidR="00000000" w:rsidRPr="00000000">
        <w:rPr>
          <w:b w:val="1"/>
          <w:color w:val="333333"/>
          <w:rtl w:val="0"/>
        </w:rPr>
        <w:t xml:space="preserve">Organisatrices : Tatiana Aleksandrova, Catherine Felce, Lucía Gómez, Sülün Aykurt, Katia Bernardon de Oliveira</w:t>
      </w:r>
    </w:p>
    <w:p w:rsidR="00000000" w:rsidDel="00000000" w:rsidP="00000000" w:rsidRDefault="00000000" w:rsidRPr="00000000" w14:paraId="00000033">
      <w:pPr>
        <w:spacing w:after="240" w:before="240" w:line="256.8" w:lineRule="auto"/>
        <w:ind w:left="360"/>
        <w:rPr/>
      </w:pPr>
      <w:r w:rsidDel="00000000" w:rsidR="00000000" w:rsidRPr="00000000">
        <w:rPr>
          <w:rtl w:val="0"/>
        </w:rPr>
        <w:t xml:space="preserve">Adresses de contact pour plus d’information :  </w:t>
      </w:r>
    </w:p>
    <w:p w:rsidR="00000000" w:rsidDel="00000000" w:rsidP="00000000" w:rsidRDefault="00000000" w:rsidRPr="00000000" w14:paraId="00000034">
      <w:pPr>
        <w:spacing w:after="240" w:before="240" w:line="256.8" w:lineRule="auto"/>
        <w:ind w:left="360"/>
        <w:rPr/>
      </w:pPr>
      <w:hyperlink r:id="rId8">
        <w:r w:rsidDel="00000000" w:rsidR="00000000" w:rsidRPr="00000000">
          <w:rPr>
            <w:color w:val="1155cc"/>
            <w:u w:val="single"/>
            <w:rtl w:val="0"/>
          </w:rPr>
          <w:t xml:space="preserve">tatiana.aleksandrova@univ-grenoble-alpes.fr</w:t>
        </w:r>
      </w:hyperlink>
      <w:r w:rsidDel="00000000" w:rsidR="00000000" w:rsidRPr="00000000">
        <w:rPr>
          <w:rtl w:val="0"/>
        </w:rPr>
      </w:r>
    </w:p>
    <w:p w:rsidR="00000000" w:rsidDel="00000000" w:rsidP="00000000" w:rsidRDefault="00000000" w:rsidRPr="00000000" w14:paraId="00000035">
      <w:pPr>
        <w:spacing w:after="240" w:before="240" w:line="256.8" w:lineRule="auto"/>
        <w:ind w:left="360"/>
        <w:rPr/>
      </w:pPr>
      <w:hyperlink r:id="rId9">
        <w:r w:rsidDel="00000000" w:rsidR="00000000" w:rsidRPr="00000000">
          <w:rPr>
            <w:color w:val="1155cc"/>
            <w:u w:val="single"/>
            <w:rtl w:val="0"/>
          </w:rPr>
          <w:t xml:space="preserve">catherine.felce@univ-grenoble-alpes.fr</w:t>
        </w:r>
      </w:hyperlink>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therine.felce@univ-grenoble-alpes.fr" TargetMode="External"/><Relationship Id="rId5" Type="http://schemas.openxmlformats.org/officeDocument/2006/relationships/styles" Target="styles.xml"/><Relationship Id="rId6" Type="http://schemas.openxmlformats.org/officeDocument/2006/relationships/hyperlink" Target="mailto:grammairereal2@sciencesconf.org" TargetMode="External"/><Relationship Id="rId7" Type="http://schemas.openxmlformats.org/officeDocument/2006/relationships/hyperlink" Target="https://grammairereal2.sciencesconf.org/" TargetMode="External"/><Relationship Id="rId8" Type="http://schemas.openxmlformats.org/officeDocument/2006/relationships/hyperlink" Target="mailto:tatiana.aleksandrova@univ-grenoble-alp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